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62AC4" w14:textId="625B4FE3" w:rsidR="00EF2B02" w:rsidRPr="00B374C7" w:rsidRDefault="00223DEA" w:rsidP="00033763">
      <w:pPr>
        <w:pStyle w:val="Titel"/>
      </w:pPr>
      <w:bookmarkStart w:id="0" w:name="_GoBack"/>
      <w:bookmarkEnd w:id="0"/>
      <w:r w:rsidRPr="00B374C7">
        <w:t>Flux de marchandises</w:t>
      </w:r>
    </w:p>
    <w:p w14:paraId="7064A688" w14:textId="69C06559" w:rsidR="00FB2036" w:rsidRPr="00B374C7" w:rsidRDefault="00223DEA" w:rsidP="00033763">
      <w:pPr>
        <w:pStyle w:val="berschrift1"/>
      </w:pPr>
      <w:r w:rsidRPr="00B374C7">
        <w:t>Flux de marchandises disponibles</w:t>
      </w:r>
    </w:p>
    <w:p w14:paraId="14E34C33" w14:textId="77777777" w:rsidR="0059326E" w:rsidRPr="00B374C7" w:rsidRDefault="0059326E" w:rsidP="003A6878">
      <w:pPr>
        <w:pStyle w:val="Untertitel"/>
        <w:spacing w:before="0" w:beforeAutospacing="0" w:after="0" w:afterAutospacing="0"/>
        <w:contextualSpacing/>
      </w:pPr>
      <w:r w:rsidRPr="00B374C7">
        <w:t>Flux de marchandises push</w:t>
      </w:r>
    </w:p>
    <w:p w14:paraId="6EEF09CE" w14:textId="7DD5FCCB" w:rsidR="0059326E" w:rsidRPr="00B374C7" w:rsidRDefault="0059326E" w:rsidP="00A91FEF">
      <w:pPr>
        <w:spacing w:before="0" w:beforeAutospacing="0"/>
      </w:pPr>
      <w:r w:rsidRPr="00B374C7">
        <w:t xml:space="preserve">Par flux de marchandises push, on entend des flux de marchandises pour lesquels des marchandises sont livrées aux magasins à une date déterminée sur la base d’attributions des achats. Dans le secteur non alimentaire, il s’agit </w:t>
      </w:r>
      <w:proofErr w:type="gramStart"/>
      <w:r w:rsidRPr="00B374C7">
        <w:t>de:</w:t>
      </w:r>
      <w:proofErr w:type="gramEnd"/>
      <w:r w:rsidRPr="00B374C7">
        <w:t xml:space="preserve"> </w:t>
      </w:r>
      <w:r w:rsidR="00F6747F" w:rsidRPr="00B374C7">
        <w:t>Répartition</w:t>
      </w:r>
      <w:r w:rsidRPr="00B374C7">
        <w:t xml:space="preserve">, </w:t>
      </w:r>
      <w:r w:rsidR="00F6747F" w:rsidRPr="00B374C7">
        <w:t>Répartition</w:t>
      </w:r>
      <w:r w:rsidR="005949AA" w:rsidRPr="00B374C7">
        <w:t xml:space="preserve"> </w:t>
      </w:r>
      <w:r w:rsidRPr="00B374C7">
        <w:t>from Stock et Transit.</w:t>
      </w:r>
    </w:p>
    <w:p w14:paraId="45603CEB" w14:textId="77777777" w:rsidR="0059326E" w:rsidRPr="00B374C7" w:rsidRDefault="0059326E" w:rsidP="006A67C1">
      <w:pPr>
        <w:pStyle w:val="Untertitel"/>
        <w:spacing w:before="0" w:beforeAutospacing="0" w:after="0" w:afterAutospacing="0"/>
      </w:pPr>
      <w:r w:rsidRPr="00B374C7">
        <w:t>Flux de marchandises pull</w:t>
      </w:r>
    </w:p>
    <w:p w14:paraId="180DD280" w14:textId="77777777" w:rsidR="0059326E" w:rsidRPr="00B374C7" w:rsidRDefault="0059326E" w:rsidP="00633A35">
      <w:pPr>
        <w:spacing w:before="0" w:beforeAutospacing="0"/>
      </w:pPr>
      <w:r w:rsidRPr="00B374C7">
        <w:t>Les flux de marchandises pull résultent des besoins BE-Mobile, d’une sous-couverture de paramètres minimaux et de propositions déterminées à partir du Food Forecast. Cela donne lieu à des ordres de transfert de stock correspondants à partir du stock VZ ou des ordres Cross Docking (CD1/CD2). Les ordres Cross Docking sont transmis aux fournisseurs.</w:t>
      </w:r>
    </w:p>
    <w:p w14:paraId="655124C8" w14:textId="77777777" w:rsidR="0059326E" w:rsidRPr="00B374C7" w:rsidRDefault="0059326E" w:rsidP="0059326E">
      <w:r w:rsidRPr="00B374C7">
        <w:t>Dans DFO, les fournisseurs peuvent également être définis comme des fournisseurs directs. En conséquence, les articles sont directement triés par flux de marchandises. Toutefois, ce flux de marchandises ne doit plus être utilisé que dans des cas particuliers (p. ex. bijoux en or, rackjobbing).</w:t>
      </w:r>
    </w:p>
    <w:p w14:paraId="2725F0A9" w14:textId="77777777" w:rsidR="0059326E" w:rsidRPr="00B374C7" w:rsidRDefault="0059326E" w:rsidP="00F85A80">
      <w:pPr>
        <w:pStyle w:val="Untertitel"/>
        <w:spacing w:after="0" w:afterAutospacing="0"/>
      </w:pPr>
      <w:r w:rsidRPr="00B374C7">
        <w:t>Flux de marchandises mixtes</w:t>
      </w:r>
    </w:p>
    <w:p w14:paraId="758E5417" w14:textId="77777777" w:rsidR="0059326E" w:rsidRPr="00B374C7" w:rsidRDefault="0059326E" w:rsidP="00A91FEF">
      <w:pPr>
        <w:spacing w:before="0" w:beforeAutospacing="0"/>
      </w:pPr>
      <w:r w:rsidRPr="00B374C7">
        <w:t>Chez Manor, on utilise également des flux de marchandises mixtes, en utilisant d’abord un flux de marchandises push puis un flux de marchandises pull. Les combinaisons connues sous le terme de</w:t>
      </w:r>
      <w:proofErr w:type="gramStart"/>
      <w:r w:rsidRPr="00B374C7">
        <w:t xml:space="preserve"> «post</w:t>
      </w:r>
      <w:proofErr w:type="gramEnd"/>
      <w:r w:rsidRPr="00B374C7">
        <w:t>-distribution» peuvent se composer comme suit:</w:t>
      </w:r>
    </w:p>
    <w:p w14:paraId="703CE83E" w14:textId="387A9081" w:rsidR="0059326E" w:rsidRPr="00B374C7" w:rsidRDefault="0059326E" w:rsidP="0059326E">
      <w:pPr>
        <w:pStyle w:val="Listenabsatz"/>
        <w:numPr>
          <w:ilvl w:val="0"/>
          <w:numId w:val="17"/>
        </w:numPr>
      </w:pPr>
      <w:r w:rsidRPr="00B374C7">
        <w:t xml:space="preserve">D’abord </w:t>
      </w:r>
      <w:r w:rsidR="00F6747F" w:rsidRPr="00B374C7">
        <w:t>Répartition</w:t>
      </w:r>
      <w:r w:rsidRPr="00B374C7">
        <w:t xml:space="preserve"> (push), puis Stock (pull)</w:t>
      </w:r>
    </w:p>
    <w:p w14:paraId="6BA69652" w14:textId="007CB979" w:rsidR="0059326E" w:rsidRPr="00B374C7" w:rsidRDefault="0059326E" w:rsidP="0059326E">
      <w:pPr>
        <w:pStyle w:val="Listenabsatz"/>
        <w:numPr>
          <w:ilvl w:val="0"/>
          <w:numId w:val="17"/>
        </w:numPr>
      </w:pPr>
      <w:r w:rsidRPr="00B374C7">
        <w:t xml:space="preserve">D’abord </w:t>
      </w:r>
      <w:r w:rsidR="00F6747F" w:rsidRPr="00B374C7">
        <w:t>Répartition</w:t>
      </w:r>
      <w:r w:rsidRPr="00B374C7">
        <w:t xml:space="preserve"> (push), puis CD2 (pull)</w:t>
      </w:r>
    </w:p>
    <w:p w14:paraId="70E1B51B" w14:textId="77777777" w:rsidR="0059326E" w:rsidRPr="00650AFE" w:rsidRDefault="0059326E" w:rsidP="0059326E">
      <w:pPr>
        <w:pStyle w:val="Listenabsatz"/>
        <w:numPr>
          <w:ilvl w:val="0"/>
          <w:numId w:val="17"/>
        </w:numPr>
        <w:rPr>
          <w:lang w:val="en-US"/>
        </w:rPr>
      </w:pPr>
      <w:r w:rsidRPr="00650AFE">
        <w:rPr>
          <w:lang w:val="en-US"/>
        </w:rPr>
        <w:t>D’abord Transit (push), puis Stock (pull)</w:t>
      </w:r>
    </w:p>
    <w:p w14:paraId="1DEDCD9D" w14:textId="77777777" w:rsidR="0059326E" w:rsidRPr="00650AFE" w:rsidRDefault="0059326E" w:rsidP="0059326E">
      <w:pPr>
        <w:pStyle w:val="Listenabsatz"/>
        <w:numPr>
          <w:ilvl w:val="0"/>
          <w:numId w:val="17"/>
        </w:numPr>
        <w:rPr>
          <w:lang w:val="en-US"/>
        </w:rPr>
      </w:pPr>
      <w:r w:rsidRPr="00650AFE">
        <w:rPr>
          <w:lang w:val="en-US"/>
        </w:rPr>
        <w:t>D’abord Transit (push), puis CD1 (pull)</w:t>
      </w:r>
    </w:p>
    <w:p w14:paraId="46F5BCCD" w14:textId="77777777" w:rsidR="0059326E" w:rsidRPr="00B374C7" w:rsidRDefault="0059326E" w:rsidP="0059326E">
      <w:r w:rsidRPr="00B374C7">
        <w:t>Ces combinaisons sont généralement utilisées pour les changements de saison, pour des campagnes ou pour le premier approvisionnement des magasins.</w:t>
      </w:r>
    </w:p>
    <w:p w14:paraId="5A1E802C" w14:textId="77777777" w:rsidR="0059326E" w:rsidRPr="00B374C7" w:rsidRDefault="0059326E" w:rsidP="0059326E">
      <w:pPr>
        <w:pStyle w:val="berschrift1"/>
      </w:pPr>
      <w:r w:rsidRPr="00B374C7">
        <w:t>Caractéristiques et utilisation des flux de marchandises</w:t>
      </w:r>
    </w:p>
    <w:p w14:paraId="5F27EE4D" w14:textId="77777777" w:rsidR="0059326E" w:rsidRPr="00B374C7" w:rsidRDefault="0059326E" w:rsidP="0059326E">
      <w:r w:rsidRPr="00B374C7">
        <w:t xml:space="preserve">Chaque flux de marchandises </w:t>
      </w:r>
      <w:proofErr w:type="gramStart"/>
      <w:r w:rsidRPr="00B374C7">
        <w:t>a</w:t>
      </w:r>
      <w:proofErr w:type="gramEnd"/>
      <w:r w:rsidRPr="00B374C7">
        <w:t xml:space="preserve"> ses caractéristiques spécifiques. Ils doivent être choisis et utilisés de manière ciblée en conséquence. Contactez votre responsable au Supplier Management (Supply Chain) et discutez de votre projet avec le service VZ afin de définir le bon flux de marchandises.</w:t>
      </w:r>
    </w:p>
    <w:p w14:paraId="5639C1AE" w14:textId="77777777" w:rsidR="0059326E" w:rsidRPr="00B374C7" w:rsidRDefault="0059326E" w:rsidP="00F85A80">
      <w:pPr>
        <w:pStyle w:val="Untertitel"/>
        <w:spacing w:after="0" w:afterAutospacing="0"/>
      </w:pPr>
      <w:r w:rsidRPr="00B374C7">
        <w:t>Stock</w:t>
      </w:r>
    </w:p>
    <w:p w14:paraId="00C81332" w14:textId="77777777" w:rsidR="0059326E" w:rsidRDefault="0059326E" w:rsidP="00A91FEF">
      <w:pPr>
        <w:spacing w:before="0" w:beforeAutospacing="0"/>
      </w:pPr>
      <w:r w:rsidRPr="00B374C7">
        <w:t>Pour le flux de marchandises stock, un stock est tenu pour chaque SKU (variante) dans la centrale de distribution. Le service des achats ou de la répartition veillent à ce que les quantités commandées et les rythmes de livraison soient optimaux et à ce qu’il y ait assez de stock.</w:t>
      </w:r>
    </w:p>
    <w:p w14:paraId="616522E2" w14:textId="77777777" w:rsidR="00963083" w:rsidRPr="00B374C7" w:rsidRDefault="00963083" w:rsidP="00A91FEF">
      <w:pPr>
        <w:spacing w:before="0" w:beforeAutospacing="0"/>
      </w:pPr>
    </w:p>
    <w:p w14:paraId="60CDE6BC" w14:textId="2A3B82CF" w:rsidR="00A91FEF" w:rsidRPr="00B374C7" w:rsidRDefault="0059326E" w:rsidP="00B470D3">
      <w:r w:rsidRPr="00B374C7">
        <w:lastRenderedPageBreak/>
        <w:t>Ces marchandises servent généralement au réassortiment. Les transferts de stock à partir de l’entrepôt VZ sont déclenchés soit par le fait que les paramètres minimaux ne sont pas atteints, soit par BE-Mobile. De plus, les achats peuvent promouvoir les marchandises dans les magasins par le biais d’un réassortiment push ou d’une Rep from Stock.</w:t>
      </w:r>
    </w:p>
    <w:p w14:paraId="265EF402" w14:textId="0645F7F1" w:rsidR="00876947" w:rsidRPr="00B374C7" w:rsidRDefault="00F6747F" w:rsidP="00443F6F">
      <w:pPr>
        <w:pStyle w:val="Untertitel"/>
        <w:spacing w:after="0" w:afterAutospacing="0"/>
      </w:pPr>
      <w:r w:rsidRPr="00B374C7">
        <w:t>Répartition</w:t>
      </w:r>
      <w:r w:rsidR="0059326E" w:rsidRPr="00B374C7">
        <w:t xml:space="preserve"> et Cross-Docking 2 (CD2)</w:t>
      </w:r>
    </w:p>
    <w:p w14:paraId="6A2F9D83" w14:textId="178440F1" w:rsidR="0059326E" w:rsidRPr="00B374C7" w:rsidRDefault="0059326E" w:rsidP="00DA2105">
      <w:r w:rsidRPr="00B374C7">
        <w:t xml:space="preserve">Le flux de marchandises </w:t>
      </w:r>
      <w:r w:rsidR="00F6747F" w:rsidRPr="00B374C7">
        <w:t>Répartition</w:t>
      </w:r>
      <w:r w:rsidRPr="00B374C7">
        <w:t xml:space="preserve"> (push) est utilisé en premier lieu pour les premiers approvisionnements des magasins lors d’un changement d’assortiment ou de saison. Les articles sont livrés variante par variante.</w:t>
      </w:r>
    </w:p>
    <w:p w14:paraId="3FBA9FC7" w14:textId="77777777" w:rsidR="0059326E" w:rsidRPr="00B374C7" w:rsidRDefault="0059326E" w:rsidP="00DA2105">
      <w:r w:rsidRPr="00B374C7">
        <w:t>Dans les centrales de distribution, les quantités spécifiées sont réparties entre les magasins, où elles sont livrées conformément à la date de livraison prévue.</w:t>
      </w:r>
    </w:p>
    <w:p w14:paraId="4182B755" w14:textId="77777777" w:rsidR="0059326E" w:rsidRPr="00B374C7" w:rsidRDefault="0059326E" w:rsidP="00DA2105">
      <w:r w:rsidRPr="00B374C7">
        <w:t>Le flux de marchandises CD2 (pull) est en principe identique, les commandes étant déclenchées par le service des ventes, soit si les paramètres minimaux ne sont pas respectés, soit par BE-Mobile.</w:t>
      </w:r>
    </w:p>
    <w:p w14:paraId="4EC01BE8" w14:textId="77777777" w:rsidR="0059326E" w:rsidRPr="00B374C7" w:rsidRDefault="0059326E" w:rsidP="00DA2105">
      <w:r w:rsidRPr="00B374C7">
        <w:t>En cas de Cross Docking, la livraison a toujours lieu immédiatement, c’est-à-dire avec la livraison suivante, conformément au planning des tournées.</w:t>
      </w:r>
    </w:p>
    <w:p w14:paraId="5D678F79" w14:textId="77777777" w:rsidR="0059326E" w:rsidRPr="00650AFE" w:rsidRDefault="0059326E" w:rsidP="00F85A80">
      <w:pPr>
        <w:pStyle w:val="Untertitel"/>
        <w:spacing w:after="0" w:afterAutospacing="0"/>
        <w:rPr>
          <w:lang w:val="en-US"/>
        </w:rPr>
      </w:pPr>
      <w:r w:rsidRPr="00650AFE">
        <w:rPr>
          <w:lang w:val="en-US"/>
        </w:rPr>
        <w:t>Transit et Cross Docking 1 (CD1)</w:t>
      </w:r>
    </w:p>
    <w:p w14:paraId="68F7EFC5" w14:textId="18332532" w:rsidR="0059326E" w:rsidRPr="00B374C7" w:rsidRDefault="0059326E" w:rsidP="00A91FEF">
      <w:pPr>
        <w:spacing w:before="0" w:beforeAutospacing="0"/>
      </w:pPr>
      <w:r w:rsidRPr="00B374C7">
        <w:t xml:space="preserve">Comme pour </w:t>
      </w:r>
      <w:r w:rsidR="00F6747F" w:rsidRPr="00B374C7">
        <w:t>Répartition</w:t>
      </w:r>
      <w:r w:rsidRPr="00B374C7">
        <w:t>, le flux de marchandises Transit (push) sera utilisé pour les premiers approvisionnements des magasins en cas de changement d’assortiment ou de saison. La première quantité requise pour les magasins est emballée par le fournisseur, magasin par magasin, et livrée ainsi aux centrales de distribution.</w:t>
      </w:r>
    </w:p>
    <w:p w14:paraId="0AB6381B" w14:textId="77777777" w:rsidR="0059326E" w:rsidRPr="00B374C7" w:rsidRDefault="0059326E" w:rsidP="00DA2105">
      <w:r w:rsidRPr="00B374C7">
        <w:t>Le flux de marchandises Transit ne peut être utilisé que chez les fournisseurs qui sont en mesure de livrer des marchandises prêtes à la vente (notamment avec indication des prix). On le trouve principalement dans les rayons mode.</w:t>
      </w:r>
    </w:p>
    <w:p w14:paraId="497D470B" w14:textId="547902E0" w:rsidR="0059326E" w:rsidRPr="00B374C7" w:rsidRDefault="0059326E" w:rsidP="00DA2105">
      <w:r w:rsidRPr="00B374C7">
        <w:t>Le flux de marchandises CD1 (pull) est en principe identique, les commandes étant déclenchées par le service des ventes, soit si les paramètres minimaux ne sont pas respectés, soit par BE-Mobile. En cas de Cross Docking, la livraison a toujours lieu immédiatement, c’est-à-dire avec la livraison suivante, conformément au planning des tournées.</w:t>
      </w:r>
    </w:p>
    <w:p w14:paraId="4ABBD657" w14:textId="77777777" w:rsidR="00BA645F" w:rsidRPr="00B374C7" w:rsidRDefault="00BA645F" w:rsidP="00033763"/>
    <w:sectPr w:rsidR="00BA645F" w:rsidRPr="00B374C7" w:rsidSect="00F30DDE">
      <w:headerReference w:type="default" r:id="rId7"/>
      <w:footerReference w:type="default" r:id="rId8"/>
      <w:pgSz w:w="11907" w:h="16840" w:code="9"/>
      <w:pgMar w:top="1560" w:right="1797" w:bottom="993"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90102" w14:textId="77777777" w:rsidR="00E947FE" w:rsidRDefault="00E947FE" w:rsidP="00033763">
      <w:r>
        <w:separator/>
      </w:r>
    </w:p>
  </w:endnote>
  <w:endnote w:type="continuationSeparator" w:id="0">
    <w:p w14:paraId="7959BB9A" w14:textId="77777777" w:rsidR="00E947FE" w:rsidRDefault="00E947FE" w:rsidP="0003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1059362870"/>
      <w:docPartObj>
        <w:docPartGallery w:val="Page Numbers (Bottom of Page)"/>
        <w:docPartUnique/>
      </w:docPartObj>
    </w:sdtPr>
    <w:sdtEndPr/>
    <w:sdtContent>
      <w:p w14:paraId="3DA332C6" w14:textId="400709FA" w:rsidR="003641A8" w:rsidRPr="003641A8" w:rsidRDefault="003641A8">
        <w:pPr>
          <w:pStyle w:val="Fuzeile"/>
          <w:jc w:val="right"/>
          <w:rPr>
            <w:sz w:val="18"/>
            <w:szCs w:val="18"/>
          </w:rPr>
        </w:pPr>
        <w:r>
          <w:rPr>
            <w:sz w:val="18"/>
          </w:rPr>
          <w:t>Page </w:t>
        </w:r>
        <w:r w:rsidRPr="003641A8">
          <w:rPr>
            <w:sz w:val="18"/>
          </w:rPr>
          <w:fldChar w:fldCharType="begin"/>
        </w:r>
        <w:r w:rsidRPr="003641A8">
          <w:rPr>
            <w:sz w:val="18"/>
          </w:rPr>
          <w:instrText>PAGE   \* MERGEFORMAT</w:instrText>
        </w:r>
        <w:r w:rsidRPr="003641A8">
          <w:rPr>
            <w:sz w:val="18"/>
          </w:rPr>
          <w:fldChar w:fldCharType="separate"/>
        </w:r>
        <w:r w:rsidRPr="003641A8">
          <w:rPr>
            <w:sz w:val="18"/>
          </w:rPr>
          <w:t>2</w:t>
        </w:r>
        <w:r w:rsidRPr="003641A8">
          <w:rPr>
            <w:sz w:val="18"/>
          </w:rPr>
          <w:fldChar w:fldCharType="end"/>
        </w:r>
      </w:p>
    </w:sdtContent>
  </w:sdt>
  <w:p w14:paraId="6BA0269D" w14:textId="77777777" w:rsidR="004C3407" w:rsidRDefault="004C340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4F817B" w14:textId="77777777" w:rsidR="00E947FE" w:rsidRDefault="00E947FE" w:rsidP="00033763">
      <w:r>
        <w:separator/>
      </w:r>
    </w:p>
  </w:footnote>
  <w:footnote w:type="continuationSeparator" w:id="0">
    <w:p w14:paraId="644B82BF" w14:textId="77777777" w:rsidR="00E947FE" w:rsidRDefault="00E947FE" w:rsidP="00033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25C8A" w14:textId="35CAF99D" w:rsidR="00C14EBD" w:rsidRDefault="00DD3655" w:rsidP="00033763">
    <w:pPr>
      <w:pStyle w:val="Kopfzeile"/>
    </w:pPr>
    <w:r>
      <w:rPr>
        <w:noProof/>
      </w:rPr>
      <w:drawing>
        <wp:anchor distT="0" distB="0" distL="114300" distR="114300" simplePos="0" relativeHeight="251658752" behindDoc="1" locked="0" layoutInCell="1" allowOverlap="1" wp14:anchorId="74C2A29C" wp14:editId="69E534A7">
          <wp:simplePos x="0" y="0"/>
          <wp:positionH relativeFrom="column">
            <wp:posOffset>4122420</wp:posOffset>
          </wp:positionH>
          <wp:positionV relativeFrom="paragraph">
            <wp:posOffset>-56515</wp:posOffset>
          </wp:positionV>
          <wp:extent cx="1821600" cy="525600"/>
          <wp:effectExtent l="0" t="0" r="0" b="0"/>
          <wp:wrapNone/>
          <wp:docPr id="32" name="Grafik 3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1600" cy="525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6748C"/>
    <w:multiLevelType w:val="multilevel"/>
    <w:tmpl w:val="EA44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26C4F"/>
    <w:multiLevelType w:val="hybridMultilevel"/>
    <w:tmpl w:val="A7CE184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F637CFD"/>
    <w:multiLevelType w:val="hybridMultilevel"/>
    <w:tmpl w:val="783CF2E0"/>
    <w:lvl w:ilvl="0" w:tplc="F7F052D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1766698"/>
    <w:multiLevelType w:val="multilevel"/>
    <w:tmpl w:val="20E8C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FC056B"/>
    <w:multiLevelType w:val="multilevel"/>
    <w:tmpl w:val="3550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6415EA"/>
    <w:multiLevelType w:val="multilevel"/>
    <w:tmpl w:val="B5A4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0D7235"/>
    <w:multiLevelType w:val="multilevel"/>
    <w:tmpl w:val="5988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243F9B"/>
    <w:multiLevelType w:val="multilevel"/>
    <w:tmpl w:val="D592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2C5129"/>
    <w:multiLevelType w:val="hybridMultilevel"/>
    <w:tmpl w:val="A8EAB39E"/>
    <w:lvl w:ilvl="0" w:tplc="F7F052D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A120EF5"/>
    <w:multiLevelType w:val="hybridMultilevel"/>
    <w:tmpl w:val="22DA8E52"/>
    <w:lvl w:ilvl="0" w:tplc="F7F052D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DC26C44"/>
    <w:multiLevelType w:val="hybridMultilevel"/>
    <w:tmpl w:val="EB3CFFC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47F95663"/>
    <w:multiLevelType w:val="hybridMultilevel"/>
    <w:tmpl w:val="9EA8375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A4E6040"/>
    <w:multiLevelType w:val="multilevel"/>
    <w:tmpl w:val="72D2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4E37FD"/>
    <w:multiLevelType w:val="hybridMultilevel"/>
    <w:tmpl w:val="305478A2"/>
    <w:lvl w:ilvl="0" w:tplc="F7F052D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29D0523"/>
    <w:multiLevelType w:val="multilevel"/>
    <w:tmpl w:val="8228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BC7DEA"/>
    <w:multiLevelType w:val="hybridMultilevel"/>
    <w:tmpl w:val="7F265FC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7B345A6C"/>
    <w:multiLevelType w:val="multilevel"/>
    <w:tmpl w:val="3870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4"/>
  </w:num>
  <w:num w:numId="3">
    <w:abstractNumId w:val="7"/>
  </w:num>
  <w:num w:numId="4">
    <w:abstractNumId w:val="11"/>
  </w:num>
  <w:num w:numId="5">
    <w:abstractNumId w:val="1"/>
  </w:num>
  <w:num w:numId="6">
    <w:abstractNumId w:val="6"/>
  </w:num>
  <w:num w:numId="7">
    <w:abstractNumId w:val="0"/>
  </w:num>
  <w:num w:numId="8">
    <w:abstractNumId w:val="3"/>
  </w:num>
  <w:num w:numId="9">
    <w:abstractNumId w:val="10"/>
  </w:num>
  <w:num w:numId="10">
    <w:abstractNumId w:val="13"/>
  </w:num>
  <w:num w:numId="11">
    <w:abstractNumId w:val="8"/>
  </w:num>
  <w:num w:numId="12">
    <w:abstractNumId w:val="16"/>
  </w:num>
  <w:num w:numId="13">
    <w:abstractNumId w:val="12"/>
  </w:num>
  <w:num w:numId="14">
    <w:abstractNumId w:val="5"/>
  </w:num>
  <w:num w:numId="15">
    <w:abstractNumId w:val="9"/>
  </w:num>
  <w:num w:numId="16">
    <w:abstractNumId w:val="1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B02"/>
    <w:rsid w:val="00006730"/>
    <w:rsid w:val="00033763"/>
    <w:rsid w:val="00041BF4"/>
    <w:rsid w:val="000719EC"/>
    <w:rsid w:val="00081FEF"/>
    <w:rsid w:val="0008358B"/>
    <w:rsid w:val="000D3187"/>
    <w:rsid w:val="000E1EF3"/>
    <w:rsid w:val="001606F6"/>
    <w:rsid w:val="00185D67"/>
    <w:rsid w:val="00186D43"/>
    <w:rsid w:val="001C15A5"/>
    <w:rsid w:val="00200D42"/>
    <w:rsid w:val="002077F1"/>
    <w:rsid w:val="00212C35"/>
    <w:rsid w:val="002178B5"/>
    <w:rsid w:val="00223DEA"/>
    <w:rsid w:val="00227288"/>
    <w:rsid w:val="00244A42"/>
    <w:rsid w:val="00256FB2"/>
    <w:rsid w:val="002704B7"/>
    <w:rsid w:val="002C625E"/>
    <w:rsid w:val="002F1038"/>
    <w:rsid w:val="00300AA8"/>
    <w:rsid w:val="003116C6"/>
    <w:rsid w:val="003641A8"/>
    <w:rsid w:val="0037194B"/>
    <w:rsid w:val="00384947"/>
    <w:rsid w:val="003A6878"/>
    <w:rsid w:val="0044247A"/>
    <w:rsid w:val="00443F6F"/>
    <w:rsid w:val="00456003"/>
    <w:rsid w:val="00471BE4"/>
    <w:rsid w:val="00497093"/>
    <w:rsid w:val="004C3407"/>
    <w:rsid w:val="004C58F7"/>
    <w:rsid w:val="00505A88"/>
    <w:rsid w:val="005751EF"/>
    <w:rsid w:val="00590F7B"/>
    <w:rsid w:val="0059326E"/>
    <w:rsid w:val="005949AA"/>
    <w:rsid w:val="00602E12"/>
    <w:rsid w:val="00607A40"/>
    <w:rsid w:val="006163D7"/>
    <w:rsid w:val="00633A35"/>
    <w:rsid w:val="00650AFE"/>
    <w:rsid w:val="00660AA3"/>
    <w:rsid w:val="0066303D"/>
    <w:rsid w:val="006706B4"/>
    <w:rsid w:val="006A67C1"/>
    <w:rsid w:val="006C0AFF"/>
    <w:rsid w:val="00705DEF"/>
    <w:rsid w:val="007535EC"/>
    <w:rsid w:val="00782AA6"/>
    <w:rsid w:val="007A09BE"/>
    <w:rsid w:val="007C41A9"/>
    <w:rsid w:val="007C46B7"/>
    <w:rsid w:val="007C5D06"/>
    <w:rsid w:val="00842AAF"/>
    <w:rsid w:val="00864BBE"/>
    <w:rsid w:val="00876947"/>
    <w:rsid w:val="00880A9F"/>
    <w:rsid w:val="008D4DE4"/>
    <w:rsid w:val="008E1609"/>
    <w:rsid w:val="009426DB"/>
    <w:rsid w:val="00955D4E"/>
    <w:rsid w:val="00963083"/>
    <w:rsid w:val="00970191"/>
    <w:rsid w:val="0097794F"/>
    <w:rsid w:val="009B024B"/>
    <w:rsid w:val="00A64F65"/>
    <w:rsid w:val="00A91FEF"/>
    <w:rsid w:val="00AD0598"/>
    <w:rsid w:val="00AF566D"/>
    <w:rsid w:val="00B374C7"/>
    <w:rsid w:val="00B470D3"/>
    <w:rsid w:val="00B75EB6"/>
    <w:rsid w:val="00B86D01"/>
    <w:rsid w:val="00BA36F8"/>
    <w:rsid w:val="00BA645F"/>
    <w:rsid w:val="00BB6AC0"/>
    <w:rsid w:val="00BE3268"/>
    <w:rsid w:val="00BE5B83"/>
    <w:rsid w:val="00BE71B6"/>
    <w:rsid w:val="00BE7458"/>
    <w:rsid w:val="00C14EBD"/>
    <w:rsid w:val="00C4474C"/>
    <w:rsid w:val="00C72ED7"/>
    <w:rsid w:val="00C75849"/>
    <w:rsid w:val="00C80D84"/>
    <w:rsid w:val="00D15590"/>
    <w:rsid w:val="00D4324B"/>
    <w:rsid w:val="00D6021B"/>
    <w:rsid w:val="00D64A0C"/>
    <w:rsid w:val="00D74A05"/>
    <w:rsid w:val="00DA2105"/>
    <w:rsid w:val="00DA396A"/>
    <w:rsid w:val="00DB3E17"/>
    <w:rsid w:val="00DD3655"/>
    <w:rsid w:val="00DE2663"/>
    <w:rsid w:val="00E51C1A"/>
    <w:rsid w:val="00E947FE"/>
    <w:rsid w:val="00EF2B02"/>
    <w:rsid w:val="00F023AF"/>
    <w:rsid w:val="00F13AE3"/>
    <w:rsid w:val="00F304EF"/>
    <w:rsid w:val="00F30DDE"/>
    <w:rsid w:val="00F330BE"/>
    <w:rsid w:val="00F43C8C"/>
    <w:rsid w:val="00F46040"/>
    <w:rsid w:val="00F50625"/>
    <w:rsid w:val="00F57D32"/>
    <w:rsid w:val="00F6747F"/>
    <w:rsid w:val="00F85A80"/>
    <w:rsid w:val="00FB1498"/>
    <w:rsid w:val="00FB1C03"/>
    <w:rsid w:val="00FB2036"/>
    <w:rsid w:val="00FC259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2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033763"/>
    <w:pPr>
      <w:spacing w:before="100" w:beforeAutospacing="1" w:after="100" w:afterAutospacing="1"/>
      <w:jc w:val="both"/>
    </w:pPr>
    <w:rPr>
      <w:rFonts w:asciiTheme="minorHAnsi" w:hAnsiTheme="minorHAnsi" w:cstheme="minorHAnsi"/>
      <w:sz w:val="22"/>
      <w:szCs w:val="22"/>
    </w:rPr>
  </w:style>
  <w:style w:type="paragraph" w:styleId="berschrift1">
    <w:name w:val="heading 1"/>
    <w:basedOn w:val="Titel"/>
    <w:next w:val="Standard"/>
    <w:link w:val="berschrift1Zchn"/>
    <w:qFormat/>
    <w:rsid w:val="009426DB"/>
    <w:pPr>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C14EBD"/>
    <w:pPr>
      <w:tabs>
        <w:tab w:val="center" w:pos="4536"/>
        <w:tab w:val="right" w:pos="9072"/>
      </w:tabs>
    </w:pPr>
  </w:style>
  <w:style w:type="paragraph" w:styleId="Fuzeile">
    <w:name w:val="footer"/>
    <w:basedOn w:val="Standard"/>
    <w:link w:val="FuzeileZchn"/>
    <w:uiPriority w:val="99"/>
    <w:rsid w:val="00C14EBD"/>
    <w:pPr>
      <w:tabs>
        <w:tab w:val="center" w:pos="4536"/>
        <w:tab w:val="right" w:pos="9072"/>
      </w:tabs>
    </w:pPr>
  </w:style>
  <w:style w:type="paragraph" w:styleId="Listenabsatz">
    <w:name w:val="List Paragraph"/>
    <w:basedOn w:val="Standard"/>
    <w:uiPriority w:val="34"/>
    <w:qFormat/>
    <w:rsid w:val="00EF2B02"/>
    <w:pPr>
      <w:ind w:left="720"/>
      <w:contextualSpacing/>
    </w:pPr>
  </w:style>
  <w:style w:type="character" w:styleId="Hyperlink">
    <w:name w:val="Hyperlink"/>
    <w:basedOn w:val="Absatz-Standardschriftart"/>
    <w:uiPriority w:val="99"/>
    <w:unhideWhenUsed/>
    <w:rsid w:val="00EF2B02"/>
    <w:rPr>
      <w:color w:val="0000FF" w:themeColor="hyperlink"/>
      <w:u w:val="single"/>
    </w:rPr>
  </w:style>
  <w:style w:type="character" w:customStyle="1" w:styleId="uv3um">
    <w:name w:val="uv3um"/>
    <w:basedOn w:val="Absatz-Standardschriftart"/>
    <w:rsid w:val="00B86D01"/>
  </w:style>
  <w:style w:type="paragraph" w:styleId="StandardWeb">
    <w:name w:val="Normal (Web)"/>
    <w:basedOn w:val="Standard"/>
    <w:uiPriority w:val="99"/>
    <w:unhideWhenUsed/>
    <w:rsid w:val="00D15590"/>
    <w:rPr>
      <w:rFonts w:ascii="Times New Roman" w:hAnsi="Times New Roman" w:cs="Times New Roman"/>
      <w:sz w:val="24"/>
      <w:szCs w:val="24"/>
    </w:rPr>
  </w:style>
  <w:style w:type="character" w:styleId="Fett">
    <w:name w:val="Strong"/>
    <w:basedOn w:val="Absatz-Standardschriftart"/>
    <w:uiPriority w:val="22"/>
    <w:qFormat/>
    <w:rsid w:val="00D15590"/>
    <w:rPr>
      <w:b/>
      <w:bCs/>
    </w:rPr>
  </w:style>
  <w:style w:type="paragraph" w:styleId="Titel">
    <w:name w:val="Title"/>
    <w:basedOn w:val="Standard"/>
    <w:next w:val="Standard"/>
    <w:link w:val="TitelZchn"/>
    <w:qFormat/>
    <w:rsid w:val="00BE71B6"/>
    <w:pPr>
      <w:outlineLvl w:val="1"/>
    </w:pPr>
    <w:rPr>
      <w:color w:val="0070C0"/>
      <w:sz w:val="32"/>
      <w:szCs w:val="32"/>
    </w:rPr>
  </w:style>
  <w:style w:type="character" w:customStyle="1" w:styleId="TitelZchn">
    <w:name w:val="Titel Zchn"/>
    <w:basedOn w:val="Absatz-Standardschriftart"/>
    <w:link w:val="Titel"/>
    <w:rsid w:val="00BE71B6"/>
    <w:rPr>
      <w:rFonts w:asciiTheme="minorHAnsi" w:hAnsiTheme="minorHAnsi" w:cstheme="minorHAnsi"/>
      <w:color w:val="0070C0"/>
      <w:sz w:val="32"/>
      <w:szCs w:val="32"/>
    </w:rPr>
  </w:style>
  <w:style w:type="character" w:customStyle="1" w:styleId="berschrift1Zchn">
    <w:name w:val="Überschrift 1 Zchn"/>
    <w:basedOn w:val="Absatz-Standardschriftart"/>
    <w:link w:val="berschrift1"/>
    <w:rsid w:val="009426DB"/>
    <w:rPr>
      <w:rFonts w:asciiTheme="minorHAnsi" w:hAnsiTheme="minorHAnsi" w:cstheme="minorHAnsi"/>
      <w:b/>
      <w:bCs/>
      <w:color w:val="0070C0"/>
      <w:sz w:val="24"/>
      <w:szCs w:val="24"/>
    </w:rPr>
  </w:style>
  <w:style w:type="character" w:customStyle="1" w:styleId="FuzeileZchn">
    <w:name w:val="Fußzeile Zchn"/>
    <w:basedOn w:val="Absatz-Standardschriftart"/>
    <w:link w:val="Fuzeile"/>
    <w:uiPriority w:val="99"/>
    <w:rsid w:val="004C3407"/>
    <w:rPr>
      <w:rFonts w:asciiTheme="minorHAnsi" w:hAnsiTheme="minorHAnsi" w:cstheme="minorHAnsi"/>
      <w:sz w:val="22"/>
      <w:szCs w:val="22"/>
    </w:rPr>
  </w:style>
  <w:style w:type="paragraph" w:styleId="Untertitel">
    <w:name w:val="Subtitle"/>
    <w:basedOn w:val="Standard"/>
    <w:next w:val="Standard"/>
    <w:link w:val="UntertitelZchn"/>
    <w:qFormat/>
    <w:rsid w:val="00212C35"/>
    <w:rPr>
      <w:b/>
      <w:bCs/>
    </w:rPr>
  </w:style>
  <w:style w:type="character" w:customStyle="1" w:styleId="UntertitelZchn">
    <w:name w:val="Untertitel Zchn"/>
    <w:basedOn w:val="Absatz-Standardschriftart"/>
    <w:link w:val="Untertitel"/>
    <w:rsid w:val="00212C35"/>
    <w:rPr>
      <w:rFonts w:asciiTheme="minorHAnsi" w:hAnsiTheme="minorHAnsi" w:cstheme="minorHAns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93181">
      <w:bodyDiv w:val="1"/>
      <w:marLeft w:val="0"/>
      <w:marRight w:val="0"/>
      <w:marTop w:val="0"/>
      <w:marBottom w:val="0"/>
      <w:divBdr>
        <w:top w:val="none" w:sz="0" w:space="0" w:color="auto"/>
        <w:left w:val="none" w:sz="0" w:space="0" w:color="auto"/>
        <w:bottom w:val="none" w:sz="0" w:space="0" w:color="auto"/>
        <w:right w:val="none" w:sz="0" w:space="0" w:color="auto"/>
      </w:divBdr>
    </w:div>
    <w:div w:id="2048025761">
      <w:bodyDiv w:val="1"/>
      <w:marLeft w:val="0"/>
      <w:marRight w:val="0"/>
      <w:marTop w:val="0"/>
      <w:marBottom w:val="0"/>
      <w:divBdr>
        <w:top w:val="none" w:sz="0" w:space="0" w:color="auto"/>
        <w:left w:val="none" w:sz="0" w:space="0" w:color="auto"/>
        <w:bottom w:val="none" w:sz="0" w:space="0" w:color="auto"/>
        <w:right w:val="none" w:sz="0" w:space="0" w:color="auto"/>
      </w:divBdr>
      <w:divsChild>
        <w:div w:id="1333600646">
          <w:marLeft w:val="0"/>
          <w:marRight w:val="0"/>
          <w:marTop w:val="0"/>
          <w:marBottom w:val="0"/>
          <w:divBdr>
            <w:top w:val="none" w:sz="0" w:space="0" w:color="auto"/>
            <w:left w:val="none" w:sz="0" w:space="0" w:color="auto"/>
            <w:bottom w:val="none" w:sz="0" w:space="0" w:color="auto"/>
            <w:right w:val="none" w:sz="0" w:space="0" w:color="auto"/>
          </w:divBdr>
          <w:divsChild>
            <w:div w:id="1207370737">
              <w:marLeft w:val="0"/>
              <w:marRight w:val="0"/>
              <w:marTop w:val="0"/>
              <w:marBottom w:val="0"/>
              <w:divBdr>
                <w:top w:val="none" w:sz="0" w:space="0" w:color="auto"/>
                <w:left w:val="none" w:sz="0" w:space="0" w:color="auto"/>
                <w:bottom w:val="none" w:sz="0" w:space="0" w:color="auto"/>
                <w:right w:val="none" w:sz="0" w:space="0" w:color="auto"/>
              </w:divBdr>
              <w:divsChild>
                <w:div w:id="7832309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79948469">
          <w:marLeft w:val="0"/>
          <w:marRight w:val="0"/>
          <w:marTop w:val="0"/>
          <w:marBottom w:val="0"/>
          <w:divBdr>
            <w:top w:val="none" w:sz="0" w:space="0" w:color="auto"/>
            <w:left w:val="none" w:sz="0" w:space="0" w:color="auto"/>
            <w:bottom w:val="none" w:sz="0" w:space="0" w:color="auto"/>
            <w:right w:val="none" w:sz="0" w:space="0" w:color="auto"/>
          </w:divBdr>
          <w:divsChild>
            <w:div w:id="451940999">
              <w:marLeft w:val="0"/>
              <w:marRight w:val="0"/>
              <w:marTop w:val="0"/>
              <w:marBottom w:val="0"/>
              <w:divBdr>
                <w:top w:val="none" w:sz="0" w:space="0" w:color="auto"/>
                <w:left w:val="none" w:sz="0" w:space="0" w:color="auto"/>
                <w:bottom w:val="none" w:sz="0" w:space="0" w:color="auto"/>
                <w:right w:val="none" w:sz="0" w:space="0" w:color="auto"/>
              </w:divBdr>
              <w:divsChild>
                <w:div w:id="88502430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3702778">
          <w:marLeft w:val="0"/>
          <w:marRight w:val="0"/>
          <w:marTop w:val="0"/>
          <w:marBottom w:val="0"/>
          <w:divBdr>
            <w:top w:val="none" w:sz="0" w:space="0" w:color="auto"/>
            <w:left w:val="none" w:sz="0" w:space="0" w:color="auto"/>
            <w:bottom w:val="none" w:sz="0" w:space="0" w:color="auto"/>
            <w:right w:val="none" w:sz="0" w:space="0" w:color="auto"/>
          </w:divBdr>
          <w:divsChild>
            <w:div w:id="900991035">
              <w:marLeft w:val="0"/>
              <w:marRight w:val="0"/>
              <w:marTop w:val="0"/>
              <w:marBottom w:val="0"/>
              <w:divBdr>
                <w:top w:val="none" w:sz="0" w:space="0" w:color="auto"/>
                <w:left w:val="none" w:sz="0" w:space="0" w:color="auto"/>
                <w:bottom w:val="none" w:sz="0" w:space="0" w:color="auto"/>
                <w:right w:val="none" w:sz="0" w:space="0" w:color="auto"/>
              </w:divBdr>
            </w:div>
          </w:divsChild>
        </w:div>
        <w:div w:id="504319825">
          <w:marLeft w:val="0"/>
          <w:marRight w:val="0"/>
          <w:marTop w:val="0"/>
          <w:marBottom w:val="0"/>
          <w:divBdr>
            <w:top w:val="none" w:sz="0" w:space="0" w:color="auto"/>
            <w:left w:val="none" w:sz="0" w:space="0" w:color="auto"/>
            <w:bottom w:val="none" w:sz="0" w:space="0" w:color="auto"/>
            <w:right w:val="none" w:sz="0" w:space="0" w:color="auto"/>
          </w:divBdr>
          <w:divsChild>
            <w:div w:id="2005939047">
              <w:marLeft w:val="0"/>
              <w:marRight w:val="0"/>
              <w:marTop w:val="0"/>
              <w:marBottom w:val="0"/>
              <w:divBdr>
                <w:top w:val="none" w:sz="0" w:space="0" w:color="auto"/>
                <w:left w:val="none" w:sz="0" w:space="0" w:color="auto"/>
                <w:bottom w:val="none" w:sz="0" w:space="0" w:color="auto"/>
                <w:right w:val="none" w:sz="0" w:space="0" w:color="auto"/>
              </w:divBdr>
              <w:divsChild>
                <w:div w:id="13056230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17744349">
          <w:marLeft w:val="0"/>
          <w:marRight w:val="0"/>
          <w:marTop w:val="0"/>
          <w:marBottom w:val="0"/>
          <w:divBdr>
            <w:top w:val="none" w:sz="0" w:space="0" w:color="auto"/>
            <w:left w:val="none" w:sz="0" w:space="0" w:color="auto"/>
            <w:bottom w:val="none" w:sz="0" w:space="0" w:color="auto"/>
            <w:right w:val="none" w:sz="0" w:space="0" w:color="auto"/>
          </w:divBdr>
          <w:divsChild>
            <w:div w:id="1788154418">
              <w:marLeft w:val="0"/>
              <w:marRight w:val="0"/>
              <w:marTop w:val="0"/>
              <w:marBottom w:val="0"/>
              <w:divBdr>
                <w:top w:val="none" w:sz="0" w:space="0" w:color="auto"/>
                <w:left w:val="none" w:sz="0" w:space="0" w:color="auto"/>
                <w:bottom w:val="none" w:sz="0" w:space="0" w:color="auto"/>
                <w:right w:val="none" w:sz="0" w:space="0" w:color="auto"/>
              </w:divBdr>
            </w:div>
          </w:divsChild>
        </w:div>
        <w:div w:id="601838187">
          <w:marLeft w:val="0"/>
          <w:marRight w:val="0"/>
          <w:marTop w:val="0"/>
          <w:marBottom w:val="0"/>
          <w:divBdr>
            <w:top w:val="none" w:sz="0" w:space="0" w:color="auto"/>
            <w:left w:val="none" w:sz="0" w:space="0" w:color="auto"/>
            <w:bottom w:val="none" w:sz="0" w:space="0" w:color="auto"/>
            <w:right w:val="none" w:sz="0" w:space="0" w:color="auto"/>
          </w:divBdr>
          <w:divsChild>
            <w:div w:id="1804107199">
              <w:marLeft w:val="0"/>
              <w:marRight w:val="0"/>
              <w:marTop w:val="0"/>
              <w:marBottom w:val="0"/>
              <w:divBdr>
                <w:top w:val="none" w:sz="0" w:space="0" w:color="auto"/>
                <w:left w:val="none" w:sz="0" w:space="0" w:color="auto"/>
                <w:bottom w:val="none" w:sz="0" w:space="0" w:color="auto"/>
                <w:right w:val="none" w:sz="0" w:space="0" w:color="auto"/>
              </w:divBdr>
              <w:divsChild>
                <w:div w:id="22472644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anor 2">
  <a:themeElements>
    <a:clrScheme name="Manor">
      <a:dk1>
        <a:srgbClr val="C1001F"/>
      </a:dk1>
      <a:lt1>
        <a:sysClr val="window" lastClr="FFFFFF"/>
      </a:lt1>
      <a:dk2>
        <a:srgbClr val="000000"/>
      </a:dk2>
      <a:lt2>
        <a:srgbClr val="FFF1C1"/>
      </a:lt2>
      <a:accent1>
        <a:srgbClr val="AAAAAA"/>
      </a:accent1>
      <a:accent2>
        <a:srgbClr val="D78282"/>
      </a:accent2>
      <a:accent3>
        <a:srgbClr val="91000F"/>
      </a:accent3>
      <a:accent4>
        <a:srgbClr val="5A7411"/>
      </a:accent4>
      <a:accent5>
        <a:srgbClr val="A2BBDB"/>
      </a:accent5>
      <a:accent6>
        <a:srgbClr val="004272"/>
      </a:accent6>
      <a:hlink>
        <a:srgbClr val="0000FF"/>
      </a:hlink>
      <a:folHlink>
        <a:srgbClr val="800080"/>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eluxe">
      <a:fillStyleLst>
        <a:solidFill>
          <a:schemeClr val="phClr"/>
        </a:solidFill>
        <a:gradFill rotWithShape="1">
          <a:gsLst>
            <a:gs pos="0">
              <a:schemeClr val="phClr">
                <a:tint val="20000"/>
                <a:satMod val="280000"/>
              </a:schemeClr>
            </a:gs>
            <a:gs pos="14000">
              <a:schemeClr val="phClr">
                <a:tint val="37000"/>
                <a:satMod val="250000"/>
              </a:schemeClr>
            </a:gs>
            <a:gs pos="45000">
              <a:schemeClr val="phClr">
                <a:tint val="53000"/>
                <a:satMod val="220000"/>
              </a:schemeClr>
            </a:gs>
            <a:gs pos="65000">
              <a:schemeClr val="phClr">
                <a:tint val="53000"/>
                <a:satMod val="220000"/>
              </a:schemeClr>
            </a:gs>
            <a:gs pos="86000">
              <a:schemeClr val="phClr">
                <a:tint val="42000"/>
                <a:satMod val="240000"/>
              </a:schemeClr>
            </a:gs>
            <a:gs pos="100000">
              <a:schemeClr val="phClr">
                <a:tint val="20000"/>
                <a:satMod val="230000"/>
              </a:schemeClr>
            </a:gs>
          </a:gsLst>
          <a:lin ang="16200000" scaled="1"/>
        </a:gradFill>
        <a:gradFill rotWithShape="1">
          <a:gsLst>
            <a:gs pos="0">
              <a:schemeClr val="phClr">
                <a:shade val="75000"/>
                <a:satMod val="160000"/>
              </a:schemeClr>
            </a:gs>
            <a:gs pos="60000">
              <a:schemeClr val="phClr">
                <a:satMod val="150000"/>
              </a:schemeClr>
            </a:gs>
            <a:gs pos="100000">
              <a:schemeClr val="phClr">
                <a:tint val="75000"/>
                <a:satMod val="200000"/>
              </a:schemeClr>
            </a:gs>
          </a:gsLst>
          <a:lin ang="16200000" scaled="1"/>
        </a:gradFill>
      </a:fillStyleLst>
      <a:lnStyleLst>
        <a:ln w="9525" cap="flat" cmpd="sng" algn="ctr">
          <a:solidFill>
            <a:schemeClr val="phClr">
              <a:satMod val="140000"/>
            </a:schemeClr>
          </a:solidFill>
          <a:prstDash val="solid"/>
        </a:ln>
        <a:ln w="25400" cap="flat" cmpd="sng" algn="ctr">
          <a:solidFill>
            <a:schemeClr val="phClr"/>
          </a:solidFill>
          <a:prstDash val="solid"/>
        </a:ln>
        <a:ln w="31750" cap="flat" cmpd="sng" algn="ctr">
          <a:solidFill>
            <a:schemeClr val="phClr"/>
          </a:solidFill>
          <a:prstDash val="solid"/>
        </a:ln>
      </a:lnStyleLst>
      <a:effectStyleLst>
        <a:effectStyle>
          <a:effectLst>
            <a:outerShdw blurRad="50800" dist="25400" dir="5400000" rotWithShape="0">
              <a:srgbClr val="000000">
                <a:alpha val="43137"/>
              </a:srgbClr>
            </a:outerShdw>
          </a:effectLst>
        </a:effectStyle>
        <a:effectStyle>
          <a:effectLst>
            <a:outerShdw blurRad="50800" dist="25400" dir="5400000" rotWithShape="0">
              <a:srgbClr val="000000">
                <a:alpha val="43137"/>
              </a:srgbClr>
            </a:outerShdw>
          </a:effectLst>
          <a:scene3d>
            <a:camera prst="orthographicFront" fov="0">
              <a:rot lat="0" lon="0" rev="0"/>
            </a:camera>
            <a:lightRig rig="contrasting" dir="t">
              <a:rot lat="0" lon="0" rev="16500000"/>
            </a:lightRig>
          </a:scene3d>
          <a:sp3d prstMaterial="powder">
            <a:bevelT w="152400"/>
            <a:contourClr>
              <a:schemeClr val="phClr"/>
            </a:contourClr>
          </a:sp3d>
        </a:effectStyle>
        <a:effectStyle>
          <a:effectLst>
            <a:reflection blurRad="12700" stA="26000" endPos="28000" dist="38100" dir="5400000" sy="-100000"/>
          </a:effectLst>
          <a:scene3d>
            <a:camera prst="orthographicFront" fov="0">
              <a:rot lat="0" lon="0" rev="0"/>
            </a:camera>
            <a:lightRig rig="contrasting" dir="t">
              <a:rot lat="0" lon="0" rev="16500000"/>
            </a:lightRig>
          </a:scene3d>
          <a:sp3d prstMaterial="powder">
            <a:bevelT w="190500" h="1016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988f0a4-524a-45f2-829d-417725fa4957}" enabled="1" method="Standard" siteId="{52daf2a9-3b73-4da4-ac6a-3f81adc92b7e}"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2025-07-03T07:11:00Z</dcterms:created>
  <dcterms:modified xsi:type="dcterms:W3CDTF">2025-07-04T10:08:00Z</dcterms:modified>
  <cp:category/>
</cp:coreProperties>
</file>